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drawing>
          <wp:inline distT="0" distB="0" distL="0" distR="0">
            <wp:extent cx="1428750"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619125"/>
                    </a:xfrm>
                    <a:prstGeom prst="rect">
                      <a:avLst/>
                    </a:prstGeom>
                  </pic:spPr>
                </pic:pic>
              </a:graphicData>
            </a:graphic>
          </wp:inline>
        </w:drawing>
      </w:r>
    </w:p>
    <w:p>
      <w:pPr>
        <w:spacing w:after="120"/>
      </w:pPr>
      <w:r>
        <w:rPr>
          <w:rFonts w:ascii="Calibri" w:cs="Calibri" w:eastAsia="Calibri" w:hAnsi="Calibri"/>
          <w:b/>
          <w:bCs/>
          <w:color w:val="5C5C5C"/>
          <w:spacing w:val="60"/>
          <w:sz w:val="22"/>
          <w:szCs w:val="22"/>
        </w:rPr>
        <w:t xml:space="preserve">NORTHSTAR MANUFACTURING GROUP</w:t>
      </w:r>
    </w:p>
    <w:p>
      <w:pPr>
        <w:spacing w:after="100"/>
      </w:pPr>
      <w:r>
        <w:rPr>
          <w:rFonts w:ascii="Garamond" w:cs="Garamond" w:eastAsia="Garamond" w:hAnsi="Garamond"/>
          <w:color w:val="141414"/>
          <w:sz w:val="80"/>
          <w:szCs w:val="80"/>
        </w:rPr>
        <w:t xml:space="preserve">Enterprise Cloud Strategy</w:t>
      </w:r>
    </w:p>
    <w:p>
      <w:pPr>
        <w:spacing w:after="160"/>
      </w:pPr>
      <w:r>
        <w:rPr>
          <w:rFonts w:ascii="Garamond" w:cs="Garamond" w:eastAsia="Garamond" w:hAnsi="Garamond"/>
          <w:color w:val="5C5C5C"/>
          <w:sz w:val="36"/>
          <w:szCs w:val="36"/>
        </w:rPr>
        <w:t xml:space="preserve">Northstar Manufacturing Group</w:t>
      </w:r>
    </w:p>
    <w:p>
      <w:pPr>
        <w:pBdr>
          <w:bottom w:val="single" w:color="141414" w:sz="12" w:space="1"/>
        </w:pBdr>
        <w:spacing w:after="280"/>
        <w:ind w:right="7800"/>
      </w:pPr>
    </w:p>
    <w:p>
      <w:pPr>
        <w:spacing w:after="50"/>
      </w:pPr>
      <w:r>
        <w:rPr>
          <w:rFonts w:ascii="Calibri" w:cs="Calibri" w:eastAsia="Calibri" w:hAnsi="Calibri"/>
          <w:b/>
          <w:bCs/>
          <w:color w:val="141414"/>
          <w:sz w:val="21"/>
          <w:szCs w:val="21"/>
        </w:rPr>
        <w:t xml:space="preserve">Version: </w:t>
      </w:r>
      <w:r>
        <w:rPr>
          <w:rFonts w:ascii="Calibri" w:cs="Calibri" w:eastAsia="Calibri" w:hAnsi="Calibri"/>
          <w:color w:val="5C5C5C"/>
          <w:sz w:val="21"/>
          <w:szCs w:val="21"/>
        </w:rPr>
        <w:t xml:space="preserve">1.0</w:t>
      </w:r>
    </w:p>
    <w:p>
      <w:pPr>
        <w:spacing w:after="50"/>
      </w:pPr>
      <w:r>
        <w:rPr>
          <w:rFonts w:ascii="Calibri" w:cs="Calibri" w:eastAsia="Calibri" w:hAnsi="Calibri"/>
          <w:b/>
          <w:bCs/>
          <w:color w:val="141414"/>
          <w:sz w:val="21"/>
          <w:szCs w:val="21"/>
        </w:rPr>
        <w:t xml:space="preserve">Document Owner: </w:t>
      </w:r>
      <w:r>
        <w:rPr>
          <w:rFonts w:ascii="Calibri" w:cs="Calibri" w:eastAsia="Calibri" w:hAnsi="Calibri"/>
          <w:color w:val="5C5C5C"/>
          <w:sz w:val="21"/>
          <w:szCs w:val="21"/>
        </w:rPr>
        <w:t xml:space="preserve">Cloud Program Administrator</w:t>
      </w:r>
    </w:p>
    <w:p>
      <w:pPr>
        <w:spacing w:after="50"/>
      </w:pPr>
      <w:r>
        <w:rPr>
          <w:rFonts w:ascii="Calibri" w:cs="Calibri" w:eastAsia="Calibri" w:hAnsi="Calibri"/>
          <w:b/>
          <w:bCs/>
          <w:color w:val="141414"/>
          <w:sz w:val="21"/>
          <w:szCs w:val="21"/>
        </w:rPr>
        <w:t xml:space="preserve">Program Owner: </w:t>
      </w:r>
      <w:r>
        <w:rPr>
          <w:rFonts w:ascii="Calibri" w:cs="Calibri" w:eastAsia="Calibri" w:hAnsi="Calibri"/>
          <w:color w:val="5C5C5C"/>
          <w:sz w:val="21"/>
          <w:szCs w:val="21"/>
        </w:rPr>
        <w:t xml:space="preserve">Chief Information Officer</w:t>
      </w:r>
    </w:p>
    <w:p>
      <w:pPr>
        <w:spacing w:after="50"/>
      </w:pPr>
      <w:r>
        <w:rPr>
          <w:rFonts w:ascii="Calibri" w:cs="Calibri" w:eastAsia="Calibri" w:hAnsi="Calibri"/>
          <w:b/>
          <w:bCs/>
          <w:color w:val="141414"/>
          <w:sz w:val="21"/>
          <w:szCs w:val="21"/>
        </w:rPr>
        <w:t xml:space="preserve">Business Sponsor: </w:t>
      </w:r>
      <w:r>
        <w:rPr>
          <w:rFonts w:ascii="Calibri" w:cs="Calibri" w:eastAsia="Calibri" w:hAnsi="Calibri"/>
          <w:color w:val="5C5C5C"/>
          <w:sz w:val="21"/>
          <w:szCs w:val="21"/>
        </w:rPr>
        <w:t xml:space="preserve">Chief Operating Officer</w:t>
      </w:r>
    </w:p>
    <w:p>
      <w:pPr>
        <w:spacing w:after="520"/>
      </w:pPr>
      <w:r>
        <w:rPr>
          <w:rFonts w:ascii="Calibri" w:cs="Calibri" w:eastAsia="Calibri" w:hAnsi="Calibri"/>
          <w:b/>
          <w:bCs/>
          <w:color w:val="141414"/>
          <w:sz w:val="21"/>
          <w:szCs w:val="21"/>
        </w:rPr>
        <w:t xml:space="preserve">Status: </w:t>
      </w:r>
      <w:r>
        <w:rPr>
          <w:rFonts w:ascii="Calibri" w:cs="Calibri" w:eastAsia="Calibri" w:hAnsi="Calibri"/>
          <w:color w:val="5C5C5C"/>
          <w:sz w:val="21"/>
          <w:szCs w:val="21"/>
        </w:rPr>
        <w:t xml:space="preserve">Approved</w:t>
      </w:r>
    </w:p>
    <w:p>
      <w:r>
        <w:drawing>
          <wp:inline distT="0" distB="0" distL="0" distR="0">
            <wp:extent cx="59436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3962400"/>
                    </a:xfrm>
                    <a:prstGeom prst="rect">
                      <a:avLst/>
                    </a:prstGeom>
                  </pic:spPr>
                </pic:pic>
              </a:graphicData>
            </a:graphic>
          </wp:inline>
        </w:drawing>
      </w:r>
    </w:p>
    <w:p>
      <w:pPr>
        <w:sectPr>
          <w:pgSz w:w="12240" w:h="15840" w:orient="portrait"/>
          <w:pgMar w:top="1080" w:right="1440" w:bottom="1080" w:left="1440" w:header="708" w:footer="708" w:gutter="0"/>
          <w:pgNumType/>
          <w:docGrid w:linePitch="360"/>
        </w:sectPr>
      </w:pPr>
    </w:p>
    <w:p>
      <w:pPr>
        <w:spacing w:after="200"/>
      </w:pPr>
      <w:r>
        <w:rPr>
          <w:rFonts w:ascii="Garamond" w:cs="Garamond" w:eastAsia="Garamond" w:hAnsi="Garamond"/>
          <w:color w:val="141414"/>
          <w:sz w:val="40"/>
          <w:szCs w:val="40"/>
        </w:rPr>
        <w:t xml:space="preserve">Contents</w:t>
      </w:r>
    </w:p>
    <w:sdt>
      <w:sdtPr>
        <w:alias w:val="Contents"/>
      </w:sdtPr>
      <w:sdtContent>
        <w:p>
          <w:r>
            <w:fldChar w:fldCharType="begin" w:dirty="true"/>
            <w:instrText xml:space="preserve">TOC \h \o "1-1"</w:instrText>
            <w:fldChar w:fldCharType="separate"/>
          </w:r>
        </w:p>
        <w:p>
          <w:r>
            <w:fldChar w:fldCharType="end"/>
          </w:r>
        </w:p>
      </w:sdtContent>
    </w:sdt>
    <w:p>
      <w:r>
        <w:br w:type="page"/>
      </w:r>
    </w:p>
    <w:p>
      <w:pPr>
        <w:pStyle w:val="Heading1"/>
      </w:pPr>
      <w:r>
        <w:t xml:space="preserve">1. Executive Summary</w:t>
      </w:r>
    </w:p>
    <w:p>
      <w:pPr>
        <w:spacing w:after="140" w:line="288"/>
      </w:pPr>
      <w:r>
        <w:rPr>
          <w:rFonts w:ascii="Calibri" w:cs="Calibri" w:eastAsia="Calibri" w:hAnsi="Calibri"/>
          <w:color w:val="141414"/>
          <w:sz w:val="22"/>
          <w:szCs w:val="22"/>
        </w:rPr>
        <w:t xml:space="preserve">Northstar Manufacturing Group is expanding its digital capabilities to support growth, accelerate product development, improve operational efficiency, and create more connected customer experiences. The company’s current technology environment has developed through years of organic growth and acquisition. This has resulted in fragmented systems, inconsistent infrastructure, lengthy provisioning and integration processes, and data distributed across multiple platforms. These conditions increasingly limit the company’s ability to introduce new digital capabilities at the speed required by the business. Within two years, the business intends to cut the time from product concept to production from 120 days to 60, integrate acquired technology environments in four months rather than nine, and reduce unplanned manufacturing downtime by 20 percent. Northstar will use public cloud services as a strategic technology platform where they provide measurable business, operational, financial, or risk advantages. Cloud adoption will not be pursued as an objective by itself, nor will every application be required to migrate.</w:t>
      </w:r>
    </w:p>
    <w:p>
      <w:pPr>
        <w:spacing w:after="140" w:line="288"/>
      </w:pPr>
      <w:r>
        <w:rPr>
          <w:rFonts w:ascii="Calibri" w:cs="Calibri" w:eastAsia="Calibri" w:hAnsi="Calibri"/>
          <w:color w:val="141414"/>
          <w:sz w:val="22"/>
          <w:szCs w:val="22"/>
        </w:rPr>
        <w:t xml:space="preserve">Cloud capabilities will be used to accelerate digital product delivery, improve access to operational data, support AI-enabled business capabilities, shorten acquisition integration, improve resilience, and reduce the time required to provision and deploy technology. Workload placement and modernization decisions will be based on business value, application requirements, risk, economics, data requirements, regulatory obligations, and lifecycle considerations. Northstar will periodically measure the business and technology outcomes associated with this strategy and adjust its cloud direction as business priorities and technology capabilities evolve.</w:t>
      </w:r>
    </w:p>
    <w:p>
      <w:pPr>
        <w:pStyle w:val="Heading1"/>
      </w:pPr>
      <w:r>
        <w:t xml:space="preserve">2. Business Drivers</w:t>
      </w:r>
    </w:p>
    <w:p>
      <w:pPr>
        <w:spacing w:after="140" w:line="288"/>
      </w:pPr>
      <w:r>
        <w:rPr>
          <w:rFonts w:ascii="Calibri" w:cs="Calibri" w:eastAsia="Calibri" w:hAnsi="Calibri"/>
          <w:color w:val="141414"/>
          <w:sz w:val="22"/>
          <w:szCs w:val="22"/>
        </w:rPr>
        <w:t xml:space="preserve">Northstar’s cloud strategy is driven by business requirements rather than a technology mandate.</w:t>
      </w:r>
    </w:p>
    <w:p>
      <w:pPr>
        <w:spacing w:after="140" w:line="288"/>
      </w:pPr>
      <w:r>
        <w:rPr>
          <w:rFonts w:ascii="Calibri" w:cs="Calibri" w:eastAsia="Calibri" w:hAnsi="Calibri"/>
          <w:color w:val="141414"/>
          <w:sz w:val="22"/>
          <w:szCs w:val="22"/>
        </w:rPr>
        <w:t xml:space="preserve">The company’s principal drivers are:</w:t>
      </w:r>
    </w:p>
    <w:p>
      <w:pPr>
        <w:pStyle w:val="ListParagraph"/>
        <w:numPr>
          <w:ilvl w:val="0"/>
          <w:numId w:val="2"/>
        </w:numPr>
        <w:spacing w:after="60" w:line="276"/>
      </w:pPr>
      <w:r>
        <w:rPr>
          <w:rFonts w:ascii="Calibri" w:cs="Calibri" w:eastAsia="Calibri" w:hAnsi="Calibri"/>
          <w:b/>
          <w:bCs/>
          <w:color w:val="141414"/>
          <w:sz w:val="22"/>
          <w:szCs w:val="22"/>
        </w:rPr>
        <w:t xml:space="preserve">Accelerate Digital Product Development. </w:t>
      </w:r>
      <w:r>
        <w:rPr>
          <w:rFonts w:ascii="Calibri" w:cs="Calibri" w:eastAsia="Calibri" w:hAnsi="Calibri"/>
          <w:color w:val="141414"/>
          <w:sz w:val="22"/>
          <w:szCs w:val="22"/>
        </w:rPr>
        <w:t xml:space="preserve">Customers increasingly expect connected equipment, predictive capabilities, digital service experiences, and faster delivery of new features.</w:t>
      </w:r>
    </w:p>
    <w:p>
      <w:pPr>
        <w:pStyle w:val="ListParagraph"/>
        <w:numPr>
          <w:ilvl w:val="0"/>
          <w:numId w:val="2"/>
        </w:numPr>
        <w:spacing w:after="60" w:line="276"/>
      </w:pPr>
      <w:r>
        <w:rPr>
          <w:rFonts w:ascii="Calibri" w:cs="Calibri" w:eastAsia="Calibri" w:hAnsi="Calibri"/>
          <w:b/>
          <w:bCs/>
          <w:color w:val="141414"/>
          <w:sz w:val="22"/>
          <w:szCs w:val="22"/>
        </w:rPr>
        <w:t xml:space="preserve">Improve Operational Efficiency. </w:t>
      </w:r>
      <w:r>
        <w:rPr>
          <w:rFonts w:ascii="Calibri" w:cs="Calibri" w:eastAsia="Calibri" w:hAnsi="Calibri"/>
          <w:color w:val="141414"/>
          <w:sz w:val="22"/>
          <w:szCs w:val="22"/>
        </w:rPr>
        <w:t xml:space="preserve">Manufacturing and supply-chain data remain fragmented across plants and systems, limiting the company’s ability to optimize production, forecasting, maintenance, and inventory.</w:t>
      </w:r>
    </w:p>
    <w:p>
      <w:pPr>
        <w:pStyle w:val="ListParagraph"/>
        <w:numPr>
          <w:ilvl w:val="0"/>
          <w:numId w:val="2"/>
        </w:numPr>
        <w:spacing w:after="60" w:line="276"/>
      </w:pPr>
      <w:r>
        <w:rPr>
          <w:rFonts w:ascii="Calibri" w:cs="Calibri" w:eastAsia="Calibri" w:hAnsi="Calibri"/>
          <w:b/>
          <w:bCs/>
          <w:color w:val="141414"/>
          <w:sz w:val="22"/>
          <w:szCs w:val="22"/>
        </w:rPr>
        <w:t xml:space="preserve">Accelerate Acquisition Integration. </w:t>
      </w:r>
      <w:r>
        <w:rPr>
          <w:rFonts w:ascii="Calibri" w:cs="Calibri" w:eastAsia="Calibri" w:hAnsi="Calibri"/>
          <w:color w:val="141414"/>
          <w:sz w:val="22"/>
          <w:szCs w:val="22"/>
        </w:rPr>
        <w:t xml:space="preserve">Northstar’s growth strategy includes acquisitions, but integrating acquired applications, infrastructure, identity, and data currently takes too long.</w:t>
      </w:r>
    </w:p>
    <w:p>
      <w:pPr>
        <w:pStyle w:val="ListParagraph"/>
        <w:numPr>
          <w:ilvl w:val="0"/>
          <w:numId w:val="2"/>
        </w:numPr>
        <w:spacing w:after="60" w:line="276"/>
      </w:pPr>
      <w:r>
        <w:rPr>
          <w:rFonts w:ascii="Calibri" w:cs="Calibri" w:eastAsia="Calibri" w:hAnsi="Calibri"/>
          <w:b/>
          <w:bCs/>
          <w:color w:val="141414"/>
          <w:sz w:val="22"/>
          <w:szCs w:val="22"/>
        </w:rPr>
        <w:t xml:space="preserve">Enable Data and AI Capabilities. </w:t>
      </w:r>
      <w:r>
        <w:rPr>
          <w:rFonts w:ascii="Calibri" w:cs="Calibri" w:eastAsia="Calibri" w:hAnsi="Calibri"/>
          <w:color w:val="141414"/>
          <w:sz w:val="22"/>
          <w:szCs w:val="22"/>
        </w:rPr>
        <w:t xml:space="preserve">The company intends to expand the use of analytics and AI across manufacturing, customer service, product development, forecasting, and employee productivity.</w:t>
      </w:r>
    </w:p>
    <w:p>
      <w:pPr>
        <w:pStyle w:val="ListParagraph"/>
        <w:numPr>
          <w:ilvl w:val="0"/>
          <w:numId w:val="2"/>
        </w:numPr>
        <w:spacing w:after="60" w:line="276"/>
      </w:pPr>
      <w:r>
        <w:rPr>
          <w:rFonts w:ascii="Calibri" w:cs="Calibri" w:eastAsia="Calibri" w:hAnsi="Calibri"/>
          <w:b/>
          <w:bCs/>
          <w:color w:val="141414"/>
          <w:sz w:val="22"/>
          <w:szCs w:val="22"/>
        </w:rPr>
        <w:t xml:space="preserve">Improve Business Resilience. </w:t>
      </w:r>
      <w:r>
        <w:rPr>
          <w:rFonts w:ascii="Calibri" w:cs="Calibri" w:eastAsia="Calibri" w:hAnsi="Calibri"/>
          <w:color w:val="141414"/>
          <w:sz w:val="22"/>
          <w:szCs w:val="22"/>
        </w:rPr>
        <w:t xml:space="preserve">Critical applications require recovery capabilities aligned with their actual business importance and acceptable interruption periods.</w:t>
      </w:r>
    </w:p>
    <w:p>
      <w:pPr>
        <w:pStyle w:val="ListParagraph"/>
        <w:numPr>
          <w:ilvl w:val="0"/>
          <w:numId w:val="2"/>
        </w:numPr>
        <w:spacing w:after="60" w:line="276"/>
      </w:pPr>
      <w:r>
        <w:rPr>
          <w:rFonts w:ascii="Calibri" w:cs="Calibri" w:eastAsia="Calibri" w:hAnsi="Calibri"/>
          <w:b/>
          <w:bCs/>
          <w:color w:val="141414"/>
          <w:sz w:val="22"/>
          <w:szCs w:val="22"/>
        </w:rPr>
        <w:t xml:space="preserve">Support Geographic Growth. </w:t>
      </w:r>
      <w:r>
        <w:rPr>
          <w:rFonts w:ascii="Calibri" w:cs="Calibri" w:eastAsia="Calibri" w:hAnsi="Calibri"/>
          <w:color w:val="141414"/>
          <w:sz w:val="22"/>
          <w:szCs w:val="22"/>
        </w:rPr>
        <w:t xml:space="preserve">Northstar requires technology platforms capable of supporting new markets without requiring equivalent physical infrastructure expansion in every geography.</w:t>
      </w:r>
    </w:p>
    <w:p>
      <w:pPr>
        <w:spacing w:after="140" w:line="288"/>
      </w:pPr>
      <w:r>
        <w:rPr>
          <w:rFonts w:ascii="Calibri" w:cs="Calibri" w:eastAsia="Calibri" w:hAnsi="Calibri"/>
          <w:color w:val="141414"/>
          <w:sz w:val="22"/>
          <w:szCs w:val="22"/>
        </w:rPr>
        <w:t xml:space="preserve">These drivers explain why Northstar is pursuing cloud. They do not prescribe how every workload will be implemented.</w:t>
      </w:r>
    </w:p>
    <w:p>
      <w:pPr>
        <w:pStyle w:val="Heading1"/>
      </w:pPr>
      <w:r>
        <w:t xml:space="preserve">3. Business Outcomes and KPIs</w:t>
      </w:r>
    </w:p>
    <w:p>
      <w:pPr>
        <w:spacing w:after="140" w:line="288"/>
      </w:pPr>
      <w:r>
        <w:rPr>
          <w:rFonts w:ascii="Calibri" w:cs="Calibri" w:eastAsia="Calibri" w:hAnsi="Calibri"/>
          <w:color w:val="141414"/>
          <w:sz w:val="22"/>
          <w:szCs w:val="22"/>
        </w:rPr>
        <w:t xml:space="preserve">Northstar will connect each business driver to a measurable outcome. Table 1 shows how Northstar translates its business drivers into measurable outcomes, KPIs, and cloud requirements.</w:t>
      </w:r>
    </w:p>
    <w:p>
      <w:pPr>
        <w:keepNext/>
        <w:spacing w:after="80" w:before="200"/>
      </w:pPr>
      <w:r>
        <w:rPr>
          <w:rFonts w:ascii="Calibri" w:cs="Calibri" w:eastAsia="Calibri" w:hAnsi="Calibri"/>
          <w:b/>
          <w:bCs/>
          <w:color w:val="5C5C5C"/>
          <w:sz w:val="18"/>
          <w:szCs w:val="18"/>
        </w:rPr>
        <w:t xml:space="preserve">Table 1 — Northstar Business Outcomes and KPIs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250"/>
        <w:gridCol w:w="1700"/>
        <w:gridCol w:w="1850"/>
        <w:gridCol w:w="1900"/>
        <w:gridCol w:w="1760"/>
      </w:tblGrid>
      <w:tr>
        <w:trPr>
          <w:cantSplit/>
          <w:tblHeader/>
        </w:trPr>
        <w:tc>
          <w:tcPr>
            <w:tcW w:type="dxa" w:w="9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Priority</w:t>
            </w:r>
          </w:p>
        </w:tc>
        <w:tc>
          <w:tcPr>
            <w:tcW w:type="dxa" w:w="125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Sponsor</w:t>
            </w:r>
          </w:p>
        </w:tc>
        <w:tc>
          <w:tcPr>
            <w:tcW w:type="dxa" w:w="17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Business Driver</w:t>
            </w:r>
          </w:p>
        </w:tc>
        <w:tc>
          <w:tcPr>
            <w:tcW w:type="dxa" w:w="185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Desired Outcome</w:t>
            </w:r>
          </w:p>
        </w:tc>
        <w:tc>
          <w:tcPr>
            <w:tcW w:type="dxa" w:w="19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KPI</w:t>
            </w:r>
          </w:p>
        </w:tc>
        <w:tc>
          <w:tcPr>
            <w:tcW w:type="dxa" w:w="176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Key Requirement</w:t>
            </w:r>
          </w:p>
        </w:tc>
      </w:tr>
      <w:tr>
        <w:trPr>
          <w:cantSplit/>
        </w:trPr>
        <w:tc>
          <w:tcPr>
            <w:tcW w:type="dxa" w:w="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High</w:t>
            </w:r>
          </w:p>
        </w:tc>
        <w:tc>
          <w:tcPr>
            <w:tcW w:type="dxa" w:w="12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COO</w:t>
            </w:r>
          </w:p>
        </w:tc>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Improve operational efficiency</w:t>
            </w:r>
          </w:p>
        </w:tc>
        <w:tc>
          <w:tcPr>
            <w:tcW w:type="dxa" w:w="18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Improve manufacturing efficiency through integrated operational data</w:t>
            </w:r>
          </w:p>
        </w:tc>
        <w:tc>
          <w:tcPr>
            <w:tcW w:type="dxa" w:w="1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Reduce unplanned downtime by 20%</w:t>
            </w:r>
          </w:p>
        </w:tc>
        <w:tc>
          <w:tcPr>
            <w:tcW w:type="dxa" w:w="1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Unified data and analytics capabilities</w:t>
            </w:r>
          </w:p>
        </w:tc>
      </w:tr>
      <w:tr>
        <w:trPr>
          <w:cantSplit/>
        </w:trPr>
        <w:tc>
          <w:tcPr>
            <w:tcW w:type="dxa" w:w="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High</w:t>
            </w:r>
          </w:p>
        </w:tc>
        <w:tc>
          <w:tcPr>
            <w:tcW w:type="dxa" w:w="12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Chief Product Officer</w:t>
            </w:r>
          </w:p>
        </w:tc>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Accelerate digital product development</w:t>
            </w:r>
          </w:p>
        </w:tc>
        <w:tc>
          <w:tcPr>
            <w:tcW w:type="dxa" w:w="18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Launch digital product capabilities faster</w:t>
            </w:r>
          </w:p>
        </w:tc>
        <w:tc>
          <w:tcPr>
            <w:tcW w:type="dxa" w:w="1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Reduce concept-to-production cycle from 120 to 60 days</w:t>
            </w:r>
          </w:p>
        </w:tc>
        <w:tc>
          <w:tcPr>
            <w:tcW w:type="dxa" w:w="1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Automated development and platform capabilities</w:t>
            </w:r>
          </w:p>
        </w:tc>
      </w:tr>
      <w:tr>
        <w:trPr>
          <w:cantSplit/>
        </w:trPr>
        <w:tc>
          <w:tcPr>
            <w:tcW w:type="dxa" w:w="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High</w:t>
            </w:r>
          </w:p>
        </w:tc>
        <w:tc>
          <w:tcPr>
            <w:tcW w:type="dxa" w:w="12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CIO</w:t>
            </w:r>
          </w:p>
        </w:tc>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Accelerate acquisition integration</w:t>
            </w:r>
          </w:p>
        </w:tc>
        <w:tc>
          <w:tcPr>
            <w:tcW w:type="dxa" w:w="18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Integrate acquired technology environments faster</w:t>
            </w:r>
          </w:p>
        </w:tc>
        <w:tc>
          <w:tcPr>
            <w:tcW w:type="dxa" w:w="1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Reduce average integration time from 9 to 4 months</w:t>
            </w:r>
          </w:p>
        </w:tc>
        <w:tc>
          <w:tcPr>
            <w:tcW w:type="dxa" w:w="1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Standard identity, integration, and platform patterns</w:t>
            </w:r>
          </w:p>
        </w:tc>
      </w:tr>
      <w:tr>
        <w:trPr>
          <w:cantSplit/>
        </w:trPr>
        <w:tc>
          <w:tcPr>
            <w:tcW w:type="dxa" w:w="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High</w:t>
            </w:r>
          </w:p>
        </w:tc>
        <w:tc>
          <w:tcPr>
            <w:tcW w:type="dxa" w:w="12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Chief Digital Officer</w:t>
            </w:r>
          </w:p>
        </w:tc>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Enable data and AI</w:t>
            </w:r>
          </w:p>
        </w:tc>
        <w:tc>
          <w:tcPr>
            <w:tcW w:type="dxa" w:w="18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Deploy AI capabilities tied to defined business use cases</w:t>
            </w:r>
          </w:p>
        </w:tc>
        <w:tc>
          <w:tcPr>
            <w:tcW w:type="dxa" w:w="1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Business KPI established for each production AI use case</w:t>
            </w:r>
          </w:p>
        </w:tc>
        <w:tc>
          <w:tcPr>
            <w:tcW w:type="dxa" w:w="1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Governed data and AI platform capabilities</w:t>
            </w:r>
          </w:p>
        </w:tc>
      </w:tr>
      <w:tr>
        <w:trPr>
          <w:cantSplit/>
        </w:trPr>
        <w:tc>
          <w:tcPr>
            <w:tcW w:type="dxa" w:w="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Medium</w:t>
            </w:r>
          </w:p>
        </w:tc>
        <w:tc>
          <w:tcPr>
            <w:tcW w:type="dxa" w:w="12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COO</w:t>
            </w:r>
          </w:p>
        </w:tc>
        <w:tc>
          <w:tcPr>
            <w:tcW w:type="dxa" w:w="17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Improve resilience</w:t>
            </w:r>
          </w:p>
        </w:tc>
        <w:tc>
          <w:tcPr>
            <w:tcW w:type="dxa" w:w="18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Improve recoverability of critical operations</w:t>
            </w:r>
          </w:p>
        </w:tc>
        <w:tc>
          <w:tcPr>
            <w:tcW w:type="dxa" w:w="19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95% of Tier 1 applications meet approved recovery objectives</w:t>
            </w:r>
          </w:p>
        </w:tc>
        <w:tc>
          <w:tcPr>
            <w:tcW w:type="dxa" w:w="176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Resilient architecture and tested recovery</w:t>
            </w:r>
          </w:p>
        </w:tc>
      </w:tr>
      <w:tr>
        <w:trPr>
          <w:cantSplit/>
        </w:trPr>
        <w:tc>
          <w:tcPr>
            <w:tcW w:type="dxa" w:w="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Medium</w:t>
            </w:r>
          </w:p>
        </w:tc>
        <w:tc>
          <w:tcPr>
            <w:tcW w:type="dxa" w:w="12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Chief Growth Officer</w:t>
            </w:r>
          </w:p>
        </w:tc>
        <w:tc>
          <w:tcPr>
            <w:tcW w:type="dxa" w:w="17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Geographic expansion</w:t>
            </w:r>
          </w:p>
        </w:tc>
        <w:tc>
          <w:tcPr>
            <w:tcW w:type="dxa" w:w="18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Reduce technology lead time for new-market entry</w:t>
            </w:r>
          </w:p>
        </w:tc>
        <w:tc>
          <w:tcPr>
            <w:tcW w:type="dxa" w:w="19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Reduce infrastructure/platform readiness from months to weeks</w:t>
            </w:r>
          </w:p>
        </w:tc>
        <w:tc>
          <w:tcPr>
            <w:tcW w:type="dxa" w:w="176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Repeatable regional deployment capabilities</w:t>
            </w:r>
          </w:p>
        </w:tc>
      </w:tr>
    </w:tbl>
    <w:p>
      <w:pPr>
        <w:pStyle w:val="Heading1"/>
      </w:pPr>
      <w:r>
        <w:t xml:space="preserve">4. Cloud Readiness Assessment</w:t>
      </w:r>
    </w:p>
    <w:p>
      <w:pPr>
        <w:spacing w:after="140" w:line="288"/>
      </w:pPr>
      <w:r>
        <w:rPr>
          <w:rFonts w:ascii="Calibri" w:cs="Calibri" w:eastAsia="Calibri" w:hAnsi="Calibri"/>
          <w:color w:val="141414"/>
          <w:sz w:val="22"/>
          <w:szCs w:val="22"/>
        </w:rPr>
        <w:t xml:space="preserve">Northstar’s readiness assessment identifies the organizational conditions most likely to help or hinder execution of the strategy. Table 2 summarizes Northstar’s internal cloud-readiness strengths and weaknesses. Table 3 summarizes the external opportunities and threats in Northstar’s cloud-readiness assessment.</w:t>
      </w:r>
    </w:p>
    <w:p>
      <w:pPr>
        <w:keepNext/>
        <w:spacing w:after="80" w:before="200"/>
      </w:pPr>
      <w:r>
        <w:rPr>
          <w:rFonts w:ascii="Calibri" w:cs="Calibri" w:eastAsia="Calibri" w:hAnsi="Calibri"/>
          <w:b/>
          <w:bCs/>
          <w:color w:val="5C5C5C"/>
          <w:sz w:val="18"/>
          <w:szCs w:val="18"/>
        </w:rPr>
        <w:t xml:space="preserve">Table 2 — Northstar Cloud Readiness: Strengths and Weaknesses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Strengths</w:t>
            </w:r>
          </w:p>
        </w:tc>
        <w:tc>
          <w:tcPr>
            <w:tcW w:type="dxa" w:w="468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Weaknesses</w:t>
            </w:r>
          </w:p>
        </w:tc>
      </w:tr>
      <w:tr>
        <w:trPr>
          <w:cantSplit/>
        </w:trPr>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Strong executive sponsorship</w:t>
            </w:r>
          </w:p>
        </w:tc>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Fragmented application portfolio</w:t>
            </w:r>
          </w:p>
        </w:tc>
      </w:tr>
      <w:tr>
        <w:trPr>
          <w:cantSplit/>
        </w:trPr>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Experienced application-development organization</w:t>
            </w:r>
          </w:p>
        </w:tc>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Inconsistent cloud skills across teams</w:t>
            </w:r>
          </w:p>
        </w:tc>
      </w:tr>
      <w:tr>
        <w:trPr>
          <w:cantSplit/>
        </w:trPr>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Existing automation capabilities</w:t>
            </w:r>
          </w:p>
        </w:tc>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Limited enterprise tagging and cost allocation</w:t>
            </w:r>
          </w:p>
        </w:tc>
      </w:tr>
      <w:tr>
        <w:trPr>
          <w:cantSplit/>
        </w:trPr>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Established cybersecurity program</w:t>
            </w:r>
          </w:p>
        </w:tc>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Lengthy procurement and approval processes</w:t>
            </w:r>
          </w:p>
        </w:tc>
      </w:tr>
      <w:tr>
        <w:trPr>
          <w:cantSplit/>
        </w:trPr>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Strong manufacturing and operational data assets</w:t>
            </w:r>
          </w:p>
        </w:tc>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Inconsistent application ownership after acquisitions</w:t>
            </w:r>
          </w:p>
        </w:tc>
      </w:tr>
    </w:tbl>
    <w:p>
      <w:pPr>
        <w:keepNext/>
        <w:spacing w:after="80" w:before="200"/>
      </w:pPr>
      <w:r>
        <w:rPr>
          <w:rFonts w:ascii="Calibri" w:cs="Calibri" w:eastAsia="Calibri" w:hAnsi="Calibri"/>
          <w:b/>
          <w:bCs/>
          <w:color w:val="5C5C5C"/>
          <w:sz w:val="18"/>
          <w:szCs w:val="18"/>
        </w:rPr>
        <w:t xml:space="preserve">Table 3 — Northstar Cloud Readiness: Opportunities and Threats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Opportunities</w:t>
            </w:r>
          </w:p>
        </w:tc>
        <w:tc>
          <w:tcPr>
            <w:tcW w:type="dxa" w:w="468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Threats</w:t>
            </w:r>
          </w:p>
        </w:tc>
      </w:tr>
      <w:tr>
        <w:trPr>
          <w:cantSplit/>
        </w:trPr>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AI-enabled manufacturing and customer capabilities</w:t>
            </w:r>
          </w:p>
        </w:tc>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Data sovereignty and regulatory requirements</w:t>
            </w:r>
          </w:p>
        </w:tc>
      </w:tr>
      <w:tr>
        <w:trPr>
          <w:cantSplit/>
        </w:trPr>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Faster digital product development</w:t>
            </w:r>
          </w:p>
        </w:tc>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Uncontrolled cloud and SaaS proliferation</w:t>
            </w:r>
          </w:p>
        </w:tc>
      </w:tr>
      <w:tr>
        <w:trPr>
          <w:cantSplit/>
        </w:trPr>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Acquisition integration through standardized platforms</w:t>
            </w:r>
          </w:p>
        </w:tc>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Skills shortages in key technical areas</w:t>
            </w:r>
          </w:p>
        </w:tc>
      </w:tr>
      <w:tr>
        <w:trPr>
          <w:cantSplit/>
        </w:trPr>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Improved analytics across manufacturing operations</w:t>
            </w:r>
          </w:p>
        </w:tc>
        <w:tc>
          <w:tcPr>
            <w:tcW w:type="dxa" w:w="468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Provider and SaaS concentration risk</w:t>
            </w:r>
          </w:p>
        </w:tc>
      </w:tr>
      <w:tr>
        <w:trPr>
          <w:cantSplit/>
        </w:trPr>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Global expansion without equivalent data-center expansion</w:t>
            </w:r>
          </w:p>
        </w:tc>
        <w:tc>
          <w:tcPr>
            <w:tcW w:type="dxa" w:w="468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Cloud cost growth without financial accountability</w:t>
            </w:r>
          </w:p>
        </w:tc>
      </w:tr>
    </w:tbl>
    <w:p>
      <w:pPr>
        <w:spacing w:after="140" w:line="288"/>
      </w:pPr>
      <w:r>
        <w:rPr>
          <w:rFonts w:ascii="Calibri" w:cs="Calibri" w:eastAsia="Calibri" w:hAnsi="Calibri"/>
          <w:color w:val="141414"/>
          <w:sz w:val="22"/>
          <w:szCs w:val="22"/>
        </w:rPr>
        <w:t xml:space="preserve">The findings influence the strategy. For example, limited cost allocation supports the need for stronger financial governance. Skills inconsistency creates a training and organizational requirement. AI opportunities create data, security, governance, and platform requirements. Provider concentration risk reinforces the need for exit assessment.</w:t>
      </w:r>
    </w:p>
    <w:p>
      <w:pPr>
        <w:pStyle w:val="Heading1"/>
      </w:pPr>
      <w:r>
        <w:t xml:space="preserve">5. Cloud Position and Strategic Principles</w:t>
      </w:r>
    </w:p>
    <w:p>
      <w:pPr>
        <w:spacing w:after="140" w:line="288"/>
      </w:pPr>
      <w:r>
        <w:rPr>
          <w:rFonts w:ascii="Calibri" w:cs="Calibri" w:eastAsia="Calibri" w:hAnsi="Calibri"/>
          <w:color w:val="141414"/>
          <w:sz w:val="22"/>
          <w:szCs w:val="22"/>
        </w:rPr>
        <w:t xml:space="preserve">Northstar will follow a cloud-smart rather than cloud-mandatory approach. Public cloud will be the preferred environment for new capabilities when it provides meaningful advantages in speed, scalability, global reach, managed capabilities, data, AI, resilience, or operational efficiency. Existing applications will not be migrated solely to satisfy a cloud-adoption target.</w:t>
      </w:r>
    </w:p>
    <w:p>
      <w:pPr>
        <w:spacing w:after="140" w:line="288"/>
      </w:pPr>
      <w:r>
        <w:rPr>
          <w:rFonts w:ascii="Calibri" w:cs="Calibri" w:eastAsia="Calibri" w:hAnsi="Calibri"/>
          <w:color w:val="141414"/>
          <w:sz w:val="22"/>
          <w:szCs w:val="22"/>
        </w:rPr>
        <w:t xml:space="preserve">The principles in Table 4 will guide decisions.</w:t>
      </w:r>
    </w:p>
    <w:p>
      <w:pPr>
        <w:keepNext/>
        <w:spacing w:after="80" w:before="200"/>
      </w:pPr>
      <w:r>
        <w:rPr>
          <w:rFonts w:ascii="Calibri" w:cs="Calibri" w:eastAsia="Calibri" w:hAnsi="Calibri"/>
          <w:b/>
          <w:bCs/>
          <w:color w:val="5C5C5C"/>
          <w:sz w:val="18"/>
          <w:szCs w:val="18"/>
        </w:rPr>
        <w:t xml:space="preserve">Table 4 — Northstar Cloud Position and Strategic Principles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50"/>
        <w:gridCol w:w="3600"/>
        <w:gridCol w:w="3610"/>
      </w:tblGrid>
      <w:tr>
        <w:trPr>
          <w:cantSplit/>
          <w:tblHeader/>
        </w:trPr>
        <w:tc>
          <w:tcPr>
            <w:tcW w:type="dxa" w:w="215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Principle</w:t>
            </w:r>
          </w:p>
        </w:tc>
        <w:tc>
          <w:tcPr>
            <w:tcW w:type="dxa" w:w="36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Strategic Position</w:t>
            </w:r>
          </w:p>
        </w:tc>
        <w:tc>
          <w:tcPr>
            <w:tcW w:type="dxa" w:w="361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Implication</w:t>
            </w:r>
          </w:p>
        </w:tc>
      </w:tr>
      <w:tr>
        <w:trPr>
          <w:cantSplit/>
        </w:trPr>
        <w:tc>
          <w:tcPr>
            <w:tcW w:type="dxa" w:w="21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Business value first</w:t>
            </w:r>
          </w:p>
        </w:tc>
        <w:tc>
          <w:tcPr>
            <w:tcW w:type="dxa" w:w="3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Cloud decisions must support identifiable business or technology outcomes</w:t>
            </w:r>
          </w:p>
        </w:tc>
        <w:tc>
          <w:tcPr>
            <w:tcW w:type="dxa" w:w="36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Cloud adoption is not itself a measure of success</w:t>
            </w:r>
          </w:p>
        </w:tc>
      </w:tr>
      <w:tr>
        <w:trPr>
          <w:cantSplit/>
        </w:trPr>
        <w:tc>
          <w:tcPr>
            <w:tcW w:type="dxa" w:w="21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Cloud-smart</w:t>
            </w:r>
          </w:p>
        </w:tc>
        <w:tc>
          <w:tcPr>
            <w:tcW w:type="dxa" w:w="3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Public cloud is preferred where requirements justify it</w:t>
            </w:r>
          </w:p>
        </w:tc>
        <w:tc>
          <w:tcPr>
            <w:tcW w:type="dxa" w:w="36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Exceptions are expected when another environment is more appropriate</w:t>
            </w:r>
          </w:p>
        </w:tc>
      </w:tr>
      <w:tr>
        <w:trPr>
          <w:cantSplit/>
        </w:trPr>
        <w:tc>
          <w:tcPr>
            <w:tcW w:type="dxa" w:w="21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SaaS before custom build</w:t>
            </w:r>
          </w:p>
        </w:tc>
        <w:tc>
          <w:tcPr>
            <w:tcW w:type="dxa" w:w="3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Mature SaaS solutions should be evaluated before custom development</w:t>
            </w:r>
          </w:p>
        </w:tc>
        <w:tc>
          <w:tcPr>
            <w:tcW w:type="dxa" w:w="36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Build where differentiation creates business value</w:t>
            </w:r>
          </w:p>
        </w:tc>
      </w:tr>
      <w:tr>
        <w:trPr>
          <w:cantSplit/>
        </w:trPr>
        <w:tc>
          <w:tcPr>
            <w:tcW w:type="dxa" w:w="21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Modernize deliberately</w:t>
            </w:r>
          </w:p>
        </w:tc>
        <w:tc>
          <w:tcPr>
            <w:tcW w:type="dxa" w:w="3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Applications should be modernized when modernization produces sufficient value</w:t>
            </w:r>
          </w:p>
        </w:tc>
        <w:tc>
          <w:tcPr>
            <w:tcW w:type="dxa" w:w="36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Migration and modernization are separate decisions</w:t>
            </w:r>
          </w:p>
        </w:tc>
      </w:tr>
      <w:tr>
        <w:trPr>
          <w:cantSplit/>
        </w:trPr>
        <w:tc>
          <w:tcPr>
            <w:tcW w:type="dxa" w:w="21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Automate by default</w:t>
            </w:r>
          </w:p>
        </w:tc>
        <w:tc>
          <w:tcPr>
            <w:tcW w:type="dxa" w:w="3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Repeatable infrastructure and operational processes should be automated where practical</w:t>
            </w:r>
          </w:p>
        </w:tc>
        <w:tc>
          <w:tcPr>
            <w:tcW w:type="dxa" w:w="36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Manual provisioning becomes the exception</w:t>
            </w:r>
          </w:p>
        </w:tc>
      </w:tr>
      <w:tr>
        <w:trPr>
          <w:cantSplit/>
        </w:trPr>
        <w:tc>
          <w:tcPr>
            <w:tcW w:type="dxa" w:w="21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Self-service with guardrails</w:t>
            </w:r>
          </w:p>
        </w:tc>
        <w:tc>
          <w:tcPr>
            <w:tcW w:type="dxa" w:w="3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Teams should be able to move quickly within approved controls</w:t>
            </w:r>
          </w:p>
        </w:tc>
        <w:tc>
          <w:tcPr>
            <w:tcW w:type="dxa" w:w="36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Governance should enable rather than unnecessarily delay</w:t>
            </w:r>
          </w:p>
        </w:tc>
      </w:tr>
      <w:tr>
        <w:trPr>
          <w:cantSplit/>
        </w:trPr>
        <w:tc>
          <w:tcPr>
            <w:tcW w:type="dxa" w:w="21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Financial accountability</w:t>
            </w:r>
          </w:p>
        </w:tc>
        <w:tc>
          <w:tcPr>
            <w:tcW w:type="dxa" w:w="3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Cloud consumption must have identifiable ownership and business context</w:t>
            </w:r>
          </w:p>
        </w:tc>
        <w:tc>
          <w:tcPr>
            <w:tcW w:type="dxa" w:w="36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Cost is managed continuously</w:t>
            </w:r>
          </w:p>
        </w:tc>
      </w:tr>
      <w:tr>
        <w:trPr>
          <w:cantSplit/>
        </w:trPr>
        <w:tc>
          <w:tcPr>
            <w:tcW w:type="dxa" w:w="21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Security is shared</w:t>
            </w:r>
          </w:p>
        </w:tc>
        <w:tc>
          <w:tcPr>
            <w:tcW w:type="dxa" w:w="3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Provider security does not eliminate Northstar’s security responsibilities</w:t>
            </w:r>
          </w:p>
        </w:tc>
        <w:tc>
          <w:tcPr>
            <w:tcW w:type="dxa" w:w="36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Identity, data, configuration, and application security remain explicit responsibilities</w:t>
            </w:r>
          </w:p>
        </w:tc>
      </w:tr>
      <w:tr>
        <w:trPr>
          <w:cantSplit/>
        </w:trPr>
        <w:tc>
          <w:tcPr>
            <w:tcW w:type="dxa" w:w="21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Multicloud by requirement</w:t>
            </w:r>
          </w:p>
        </w:tc>
        <w:tc>
          <w:tcPr>
            <w:tcW w:type="dxa" w:w="3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Multiple providers may be used where justified</w:t>
            </w:r>
          </w:p>
        </w:tc>
        <w:tc>
          <w:tcPr>
            <w:tcW w:type="dxa" w:w="36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Multicloud is not an objective by itself</w:t>
            </w:r>
          </w:p>
        </w:tc>
      </w:tr>
      <w:tr>
        <w:trPr>
          <w:cantSplit/>
        </w:trPr>
        <w:tc>
          <w:tcPr>
            <w:tcW w:type="dxa" w:w="21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Dependency is conscious</w:t>
            </w:r>
          </w:p>
        </w:tc>
        <w:tc>
          <w:tcPr>
            <w:tcW w:type="dxa" w:w="3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Provider-specific capabilities may be used when their value justifies the dependency</w:t>
            </w:r>
          </w:p>
        </w:tc>
        <w:tc>
          <w:tcPr>
            <w:tcW w:type="dxa" w:w="36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Exit implications must be understood</w:t>
            </w:r>
          </w:p>
        </w:tc>
      </w:tr>
      <w:tr>
        <w:trPr>
          <w:cantSplit/>
        </w:trPr>
        <w:tc>
          <w:tcPr>
            <w:tcW w:type="dxa" w:w="21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Data sovereignty is deliberate</w:t>
            </w:r>
          </w:p>
        </w:tc>
        <w:tc>
          <w:tcPr>
            <w:tcW w:type="dxa" w:w="36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Data location and processing requirements must be understood before deployment</w:t>
            </w:r>
          </w:p>
        </w:tc>
        <w:tc>
          <w:tcPr>
            <w:tcW w:type="dxa" w:w="36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Workload placement may vary by geography or regulation</w:t>
            </w:r>
          </w:p>
        </w:tc>
      </w:tr>
      <w:tr>
        <w:trPr>
          <w:cantSplit/>
        </w:trPr>
        <w:tc>
          <w:tcPr>
            <w:tcW w:type="dxa" w:w="21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141414"/>
                <w:sz w:val="18"/>
                <w:szCs w:val="18"/>
              </w:rPr>
              <w:t xml:space="preserve">AI follows business need</w:t>
            </w:r>
          </w:p>
        </w:tc>
        <w:tc>
          <w:tcPr>
            <w:tcW w:type="dxa" w:w="36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AI services must support defined business use cases</w:t>
            </w:r>
          </w:p>
        </w:tc>
        <w:tc>
          <w:tcPr>
            <w:tcW w:type="dxa" w:w="36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AI adoption alone is not a business outcome</w:t>
            </w:r>
          </w:p>
        </w:tc>
      </w:tr>
    </w:tbl>
    <w:p>
      <w:pPr>
        <w:spacing w:after="140" w:line="288"/>
      </w:pPr>
      <w:r>
        <w:rPr>
          <w:rFonts w:ascii="Calibri" w:cs="Calibri" w:eastAsia="Calibri" w:hAnsi="Calibri"/>
          <w:color w:val="141414"/>
          <w:sz w:val="22"/>
          <w:szCs w:val="22"/>
        </w:rPr>
        <w:t xml:space="preserve">These principles are intended to constrain decisions without prescribing every implementation. Detailed standards will be developed through the Cloud Adoption Framework and supporting Cloud Implementation Plans.</w:t>
      </w:r>
    </w:p>
    <w:p>
      <w:pPr>
        <w:pStyle w:val="Heading1"/>
      </w:pPr>
      <w:r>
        <w:t xml:space="preserve">6. Exit Strategy</w:t>
      </w:r>
    </w:p>
    <w:p>
      <w:pPr>
        <w:spacing w:after="140" w:line="288"/>
      </w:pPr>
      <w:r>
        <w:rPr>
          <w:rFonts w:ascii="Calibri" w:cs="Calibri" w:eastAsia="Calibri" w:hAnsi="Calibri"/>
          <w:color w:val="141414"/>
          <w:sz w:val="22"/>
          <w:szCs w:val="22"/>
        </w:rPr>
        <w:t xml:space="preserve">Northstar recognizes that cloud and SaaS adoption creates dependencies on providers, platforms, data models, APIs, AI capabilities, and contracts. The purpose of the exit strategy is not to eliminate those dependencies but to choose and manage them deliberately. Before adopting a business-critical cloud platform or SaaS application, Northstar will establish whether a credible alternative exists, whether its data could be moved into a usable destination, how durable the provider is, what its operational track record shows, and how long the business could operate without the service. Significant dependencies will be documented and accepted by the accountable business owner.</w:t>
      </w:r>
    </w:p>
    <w:p>
      <w:pPr>
        <w:spacing w:after="140" w:line="288"/>
      </w:pPr>
      <w:r>
        <w:rPr>
          <w:rFonts w:ascii="Calibri" w:cs="Calibri" w:eastAsia="Calibri" w:hAnsi="Calibri"/>
          <w:color w:val="141414"/>
          <w:sz w:val="22"/>
          <w:szCs w:val="22"/>
        </w:rPr>
        <w:t xml:space="preserve">Exit readiness will be proportional to business impact. Every significant service will have a documented dependency; important services will be exit-ready; critical services will carry a required exit time and evidence, from an exercise, that it can be met.</w:t>
      </w:r>
    </w:p>
    <w:p>
      <w:pPr>
        <w:spacing w:after="140" w:line="288"/>
      </w:pPr>
      <w:r>
        <w:rPr>
          <w:rFonts w:ascii="Calibri" w:cs="Calibri" w:eastAsia="Calibri" w:hAnsi="Calibri"/>
          <w:color w:val="141414"/>
          <w:sz w:val="22"/>
          <w:szCs w:val="22"/>
        </w:rPr>
        <w:t xml:space="preserve">Agreed exit signals, including repeated outages, material changes in price or terms, regulatory change, serious security incidents, and changes in provider direction, will prompt a review of the dependency rather than an automatic migration. Decisions about strategic providers will be made by the Program Owner and Business Sponsor through the cloud steering group, and Northstar will choose the least disruptive response that resolves the business problem, from strengthening resilience in place to moving a workload or, in rare cases, leaving a provider.</w:t>
      </w:r>
    </w:p>
    <w:p>
      <w:pPr>
        <w:pStyle w:val="Heading1"/>
      </w:pPr>
      <w:r>
        <w:t xml:space="preserve">7. Success Metrics</w:t>
      </w:r>
    </w:p>
    <w:p>
      <w:pPr>
        <w:spacing w:after="140" w:line="288"/>
      </w:pPr>
      <w:r>
        <w:rPr>
          <w:rFonts w:ascii="Calibri" w:cs="Calibri" w:eastAsia="Calibri" w:hAnsi="Calibri"/>
          <w:color w:val="141414"/>
          <w:sz w:val="22"/>
          <w:szCs w:val="22"/>
        </w:rPr>
        <w:t xml:space="preserve">Northstar will measure the effectiveness of the cloud strategy using business-value, transformation and adoption, operational, and financial and risk indicators. Technology activity alone will not constitute business success. Table 5 summarizes the success metrics Northstar will use to measure whether the cloud strategy is producing the intended outcomes.</w:t>
      </w:r>
    </w:p>
    <w:p>
      <w:pPr>
        <w:keepNext/>
        <w:spacing w:after="80" w:before="200"/>
      </w:pPr>
      <w:r>
        <w:rPr>
          <w:rFonts w:ascii="Calibri" w:cs="Calibri" w:eastAsia="Calibri" w:hAnsi="Calibri"/>
          <w:b/>
          <w:bCs/>
          <w:color w:val="5C5C5C"/>
          <w:sz w:val="18"/>
          <w:szCs w:val="18"/>
        </w:rPr>
        <w:t xml:space="preserve">Table 5 — Northstar Cloud Strategy Success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250"/>
        <w:gridCol w:w="1300"/>
        <w:gridCol w:w="1450"/>
        <w:gridCol w:w="1650"/>
        <w:gridCol w:w="1210"/>
      </w:tblGrid>
      <w:tr>
        <w:trPr>
          <w:cantSplit/>
          <w:tblHeader/>
        </w:trPr>
        <w:tc>
          <w:tcPr>
            <w:tcW w:type="dxa" w:w="15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Business Outcome</w:t>
            </w:r>
          </w:p>
        </w:tc>
        <w:tc>
          <w:tcPr>
            <w:tcW w:type="dxa" w:w="225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Metric</w:t>
            </w:r>
          </w:p>
        </w:tc>
        <w:tc>
          <w:tcPr>
            <w:tcW w:type="dxa" w:w="130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Baseline</w:t>
            </w:r>
          </w:p>
        </w:tc>
        <w:tc>
          <w:tcPr>
            <w:tcW w:type="dxa" w:w="145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Target</w:t>
            </w:r>
          </w:p>
        </w:tc>
        <w:tc>
          <w:tcPr>
            <w:tcW w:type="dxa" w:w="165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Owner</w:t>
            </w:r>
          </w:p>
        </w:tc>
        <w:tc>
          <w:tcPr>
            <w:tcW w:type="dxa" w:w="1210"/>
            <w:tcBorders>
              <w:top w:val="single" w:color="E6E6E6" w:sz="4"/>
              <w:left w:val="single" w:color="E6E6E6" w:sz="4"/>
              <w:bottom w:val="single" w:color="E6E6E6" w:sz="4"/>
              <w:right w:val="single" w:color="E6E6E6" w:sz="4"/>
            </w:tcBorders>
            <w:shd w:fill="3A3A3A" w:color="auto" w:val="clear"/>
            <w:tcMar>
              <w:top w:type="dxa" w:w="70"/>
              <w:left w:type="dxa" w:w="110"/>
              <w:bottom w:type="dxa" w:w="70"/>
              <w:right w:type="dxa" w:w="110"/>
            </w:tcMar>
            <w:vAlign w:val="top"/>
          </w:tcPr>
          <w:p>
            <w:pPr>
              <w:spacing w:after="10"/>
              <w:jc w:val="left"/>
            </w:pPr>
            <w:r>
              <w:rPr>
                <w:rFonts w:ascii="Calibri" w:cs="Calibri" w:eastAsia="Calibri" w:hAnsi="Calibri"/>
                <w:b/>
                <w:bCs/>
                <w:i w:val="false"/>
                <w:iCs w:val="false"/>
                <w:color w:val="FFFFFF"/>
                <w:sz w:val="18"/>
                <w:szCs w:val="18"/>
              </w:rPr>
              <w:t xml:space="preserve">Target Date</w:t>
            </w:r>
          </w:p>
        </w:tc>
      </w:tr>
      <w:tr>
        <w:trPr>
          <w:cantSplit/>
        </w:trPr>
        <w:tc>
          <w:tcPr>
            <w:tcW w:type="dxa" w:w="15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Faster digital product delivery</w:t>
            </w:r>
          </w:p>
        </w:tc>
        <w:tc>
          <w:tcPr>
            <w:tcW w:type="dxa" w:w="22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Concept-to-production cycle</w:t>
            </w:r>
          </w:p>
        </w:tc>
        <w:tc>
          <w:tcPr>
            <w:tcW w:type="dxa" w:w="13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120 days</w:t>
            </w:r>
          </w:p>
        </w:tc>
        <w:tc>
          <w:tcPr>
            <w:tcW w:type="dxa" w:w="14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60 days</w:t>
            </w:r>
          </w:p>
        </w:tc>
        <w:tc>
          <w:tcPr>
            <w:tcW w:type="dxa" w:w="16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Chief Product Officer</w:t>
            </w:r>
          </w:p>
        </w:tc>
        <w:tc>
          <w:tcPr>
            <w:tcW w:type="dxa" w:w="12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Year 2</w:t>
            </w:r>
          </w:p>
        </w:tc>
      </w:tr>
      <w:tr>
        <w:trPr>
          <w:cantSplit/>
        </w:trPr>
        <w:tc>
          <w:tcPr>
            <w:tcW w:type="dxa" w:w="15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Faster acquisition integration</w:t>
            </w:r>
          </w:p>
        </w:tc>
        <w:tc>
          <w:tcPr>
            <w:tcW w:type="dxa" w:w="22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Average technology integration</w:t>
            </w:r>
          </w:p>
        </w:tc>
        <w:tc>
          <w:tcPr>
            <w:tcW w:type="dxa" w:w="13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9 months</w:t>
            </w:r>
          </w:p>
        </w:tc>
        <w:tc>
          <w:tcPr>
            <w:tcW w:type="dxa" w:w="14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4 months</w:t>
            </w:r>
          </w:p>
        </w:tc>
        <w:tc>
          <w:tcPr>
            <w:tcW w:type="dxa" w:w="16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CIO</w:t>
            </w:r>
          </w:p>
        </w:tc>
        <w:tc>
          <w:tcPr>
            <w:tcW w:type="dxa" w:w="12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Year 1</w:t>
            </w:r>
          </w:p>
        </w:tc>
      </w:tr>
      <w:tr>
        <w:trPr>
          <w:cantSplit/>
        </w:trPr>
        <w:tc>
          <w:tcPr>
            <w:tcW w:type="dxa" w:w="15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Manufacturing efficiency</w:t>
            </w:r>
          </w:p>
        </w:tc>
        <w:tc>
          <w:tcPr>
            <w:tcW w:type="dxa" w:w="22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Unplanned equipment downtime</w:t>
            </w:r>
          </w:p>
        </w:tc>
        <w:tc>
          <w:tcPr>
            <w:tcW w:type="dxa" w:w="13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To be established in Q1</w:t>
            </w:r>
          </w:p>
        </w:tc>
        <w:tc>
          <w:tcPr>
            <w:tcW w:type="dxa" w:w="14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20% below the Q1 baseline</w:t>
            </w:r>
          </w:p>
        </w:tc>
        <w:tc>
          <w:tcPr>
            <w:tcW w:type="dxa" w:w="16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COO</w:t>
            </w:r>
          </w:p>
        </w:tc>
        <w:tc>
          <w:tcPr>
            <w:tcW w:type="dxa" w:w="12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Year 2</w:t>
            </w:r>
          </w:p>
        </w:tc>
      </w:tr>
      <w:tr>
        <w:trPr>
          <w:cantSplit/>
        </w:trPr>
        <w:tc>
          <w:tcPr>
            <w:tcW w:type="dxa" w:w="15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Improved resilience</w:t>
            </w:r>
          </w:p>
        </w:tc>
        <w:tc>
          <w:tcPr>
            <w:tcW w:type="dxa" w:w="22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Tier 1 applications meeting recovery objectives</w:t>
            </w:r>
          </w:p>
        </w:tc>
        <w:tc>
          <w:tcPr>
            <w:tcW w:type="dxa" w:w="13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60%</w:t>
            </w:r>
          </w:p>
        </w:tc>
        <w:tc>
          <w:tcPr>
            <w:tcW w:type="dxa" w:w="14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95%</w:t>
            </w:r>
          </w:p>
        </w:tc>
        <w:tc>
          <w:tcPr>
            <w:tcW w:type="dxa" w:w="16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COO</w:t>
            </w:r>
          </w:p>
        </w:tc>
        <w:tc>
          <w:tcPr>
            <w:tcW w:type="dxa" w:w="12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Year 2</w:t>
            </w:r>
          </w:p>
        </w:tc>
      </w:tr>
      <w:tr>
        <w:trPr>
          <w:cantSplit/>
        </w:trPr>
        <w:tc>
          <w:tcPr>
            <w:tcW w:type="dxa" w:w="15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Faster provisioning</w:t>
            </w:r>
          </w:p>
        </w:tc>
        <w:tc>
          <w:tcPr>
            <w:tcW w:type="dxa" w:w="22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Standard environment provisioning</w:t>
            </w:r>
          </w:p>
        </w:tc>
        <w:tc>
          <w:tcPr>
            <w:tcW w:type="dxa" w:w="13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10 days</w:t>
            </w:r>
          </w:p>
        </w:tc>
        <w:tc>
          <w:tcPr>
            <w:tcW w:type="dxa" w:w="14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&lt;2 hours</w:t>
            </w:r>
          </w:p>
        </w:tc>
        <w:tc>
          <w:tcPr>
            <w:tcW w:type="dxa" w:w="16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CIO</w:t>
            </w:r>
          </w:p>
        </w:tc>
        <w:tc>
          <w:tcPr>
            <w:tcW w:type="dxa" w:w="12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Year 1</w:t>
            </w:r>
          </w:p>
        </w:tc>
      </w:tr>
      <w:tr>
        <w:trPr>
          <w:cantSplit/>
        </w:trPr>
        <w:tc>
          <w:tcPr>
            <w:tcW w:type="dxa" w:w="15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Financial accountability</w:t>
            </w:r>
          </w:p>
        </w:tc>
        <w:tc>
          <w:tcPr>
            <w:tcW w:type="dxa" w:w="22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Cloud spend assigned to accountable owner</w:t>
            </w:r>
          </w:p>
        </w:tc>
        <w:tc>
          <w:tcPr>
            <w:tcW w:type="dxa" w:w="13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45%</w:t>
            </w:r>
          </w:p>
        </w:tc>
        <w:tc>
          <w:tcPr>
            <w:tcW w:type="dxa" w:w="14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&gt;95%</w:t>
            </w:r>
          </w:p>
        </w:tc>
        <w:tc>
          <w:tcPr>
            <w:tcW w:type="dxa" w:w="16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CFO</w:t>
            </w:r>
          </w:p>
        </w:tc>
        <w:tc>
          <w:tcPr>
            <w:tcW w:type="dxa" w:w="12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Year 1</w:t>
            </w:r>
          </w:p>
        </w:tc>
      </w:tr>
      <w:tr>
        <w:trPr>
          <w:cantSplit/>
        </w:trPr>
        <w:tc>
          <w:tcPr>
            <w:tcW w:type="dxa" w:w="15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Automation</w:t>
            </w:r>
          </w:p>
        </w:tc>
        <w:tc>
          <w:tcPr>
            <w:tcW w:type="dxa" w:w="22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Standard infrastructure deployed through automation</w:t>
            </w:r>
          </w:p>
        </w:tc>
        <w:tc>
          <w:tcPr>
            <w:tcW w:type="dxa" w:w="130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35%</w:t>
            </w:r>
          </w:p>
        </w:tc>
        <w:tc>
          <w:tcPr>
            <w:tcW w:type="dxa" w:w="14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&gt;90%</w:t>
            </w:r>
          </w:p>
        </w:tc>
        <w:tc>
          <w:tcPr>
            <w:tcW w:type="dxa" w:w="165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CIO</w:t>
            </w:r>
          </w:p>
        </w:tc>
        <w:tc>
          <w:tcPr>
            <w:tcW w:type="dxa" w:w="1210"/>
            <w:tcBorders>
              <w:top w:val="single" w:color="E6E6E6" w:sz="4"/>
              <w:left w:val="single" w:color="E6E6E6" w:sz="4"/>
              <w:bottom w:val="single" w:color="E6E6E6" w:sz="4"/>
              <w:right w:val="single" w:color="E6E6E6" w:sz="4"/>
            </w:tcBorders>
            <w:shd w:fill="FFFFFF"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Year 2</w:t>
            </w:r>
          </w:p>
        </w:tc>
      </w:tr>
      <w:tr>
        <w:trPr>
          <w:cantSplit/>
        </w:trPr>
        <w:tc>
          <w:tcPr>
            <w:tcW w:type="dxa" w:w="15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Exit readiness</w:t>
            </w:r>
          </w:p>
        </w:tc>
        <w:tc>
          <w:tcPr>
            <w:tcW w:type="dxa" w:w="22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Critical applications exit-proven within their required exit time</w:t>
            </w:r>
          </w:p>
        </w:tc>
        <w:tc>
          <w:tcPr>
            <w:tcW w:type="dxa" w:w="130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To be verified in Q1</w:t>
            </w:r>
          </w:p>
        </w:tc>
        <w:tc>
          <w:tcPr>
            <w:tcW w:type="dxa" w:w="14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100%</w:t>
            </w:r>
          </w:p>
        </w:tc>
        <w:tc>
          <w:tcPr>
            <w:tcW w:type="dxa" w:w="165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CIO</w:t>
            </w:r>
          </w:p>
        </w:tc>
        <w:tc>
          <w:tcPr>
            <w:tcW w:type="dxa" w:w="1210"/>
            <w:tcBorders>
              <w:top w:val="single" w:color="E6E6E6" w:sz="4"/>
              <w:left w:val="single" w:color="E6E6E6" w:sz="4"/>
              <w:bottom w:val="single" w:color="E6E6E6" w:sz="4"/>
              <w:right w:val="single" w:color="E6E6E6" w:sz="4"/>
            </w:tcBorders>
            <w:shd w:fill="F2F2F2" w:color="auto" w:val="clear"/>
            <w:tcMar>
              <w:top w:type="dxa" w:w="70"/>
              <w:left w:type="dxa" w:w="110"/>
              <w:bottom w:type="dxa" w:w="70"/>
              <w:right w:type="dxa" w:w="110"/>
            </w:tcMar>
            <w:vAlign w:val="top"/>
          </w:tcPr>
          <w:p>
            <w:pPr>
              <w:spacing w:after="10"/>
              <w:jc w:val="left"/>
            </w:pPr>
            <w:r>
              <w:rPr>
                <w:rFonts w:ascii="Calibri" w:cs="Calibri" w:eastAsia="Calibri" w:hAnsi="Calibri"/>
                <w:b w:val="false"/>
                <w:bCs w:val="false"/>
                <w:i w:val="false"/>
                <w:iCs w:val="false"/>
                <w:color w:val="141414"/>
                <w:sz w:val="18"/>
                <w:szCs w:val="18"/>
              </w:rPr>
              <w:t xml:space="preserve">Year 2</w:t>
            </w:r>
          </w:p>
        </w:tc>
      </w:tr>
    </w:tbl>
    <w:p>
      <w:pPr>
        <w:spacing w:after="140" w:line="288"/>
      </w:pPr>
      <w:r>
        <w:rPr>
          <w:rFonts w:ascii="Calibri" w:cs="Calibri" w:eastAsia="Calibri" w:hAnsi="Calibri"/>
          <w:color w:val="141414"/>
          <w:sz w:val="22"/>
          <w:szCs w:val="22"/>
        </w:rPr>
        <w:t xml:space="preserve">Target dates are measured from approval of this strategy. Detailed operational measurements will be maintained outside the CSD. Results will be reviewed regularly and used to determine whether the strategy, priorities, CAF, or implementation plans require adjustment.</w:t>
      </w:r>
    </w:p>
    <w:p>
      <w:pPr>
        <w:pStyle w:val="Heading1"/>
      </w:pPr>
      <w:r>
        <w:t xml:space="preserve">8. Strategy Governance and Review</w:t>
      </w:r>
    </w:p>
    <w:p>
      <w:pPr>
        <w:spacing w:after="140" w:line="288"/>
      </w:pPr>
      <w:r>
        <w:rPr>
          <w:rFonts w:ascii="Calibri" w:cs="Calibri" w:eastAsia="Calibri" w:hAnsi="Calibri"/>
          <w:color w:val="141414"/>
          <w:sz w:val="22"/>
          <w:szCs w:val="22"/>
        </w:rPr>
        <w:t xml:space="preserve">The CIO serves as Program Owner for the cloud program. The Cloud Program Administrator is responsible for coordinating the development, maintenance, and socialization of this strategy. The COO serves as primary Business Sponsor. Additional business sponsors will be assigned to specific business outcomes where appropriate. The strategy will be formally reviewed at least annually and may be reviewed sooner when material changes occur. Review triggers include significant changes in business strategy, acquisitions or divestitures, regulatory requirements, provider relationships, cybersecurity risk, application strategy, cloud economics, data requirements, geographic expansion, or AI strategy. Material changes will be documented, socialized with affected stakeholders, and approved through the established governance process. The current strategy will serve as the business foundation for Northstar’s Cloud Adoption Framework.</w:t>
      </w:r>
    </w:p>
    <w:p>
      <w:pPr>
        <w:spacing w:before="360"/>
      </w:pPr>
      <w:r>
        <w:rPr>
          <w:rFonts w:ascii="Calibri" w:cs="Calibri" w:eastAsia="Calibri" w:hAnsi="Calibri"/>
          <w:b/>
          <w:bCs/>
          <w:color w:val="5C5C5C"/>
          <w:sz w:val="18"/>
          <w:szCs w:val="18"/>
        </w:rPr>
        <w:t xml:space="preserve">Source: </w:t>
      </w:r>
      <w:r>
        <w:rPr>
          <w:rFonts w:ascii="Calibri" w:cs="Calibri" w:eastAsia="Calibri" w:hAnsi="Calibri"/>
          <w:i/>
          <w:iCs/>
          <w:color w:val="5C5C5C"/>
          <w:sz w:val="18"/>
          <w:szCs w:val="18"/>
        </w:rPr>
        <w:t xml:space="preserve">Cloud Is Not the Strategy, Chapter 12. This example accompanies the blank CSD Template.</w:t>
      </w:r>
    </w:p>
    <w:sectPr>
      <w:headerReference w:type="default" r:id="rId7"/>
      <w:footerReference w:type="default" r:id="rId8"/>
      <w:pgSz w:w="12240" w:h="15840" w:orient="portrait"/>
      <w:pgMar w:top="1440" w:right="1440" w:bottom="130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8A8A8A"/>
        <w:sz w:val="16"/>
        <w:szCs w:val="16"/>
      </w:rPr>
      <w:t xml:space="preserve">Northstar Manufacturing Group</w:t>
    </w:r>
    <w:r>
      <w:rPr>
        <w:rFonts w:ascii="Calibri" w:cs="Calibri" w:eastAsia="Calibri" w:hAnsi="Calibri"/>
        <w:color w:val="141414"/>
        <w:sz w:val="16"/>
        <w:szCs w:val="16"/>
      </w:rPr>
      <w:t xml:space="preserve">	</w:t>
    </w:r>
    <w:r>
      <w:rPr>
        <w:rFonts w:ascii="Calibri" w:cs="Calibri" w:eastAsia="Calibri" w:hAnsi="Calibri"/>
        <w:color w:val="8A8A8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6" w:sz="4" w:space="6"/>
      </w:pBdr>
    </w:pPr>
    <w:r>
      <w:rPr>
        <w:rFonts w:ascii="Calibri" w:cs="Calibri" w:eastAsia="Calibri" w:hAnsi="Calibri"/>
        <w:b/>
        <w:bCs/>
        <w:color w:val="5C5C5C"/>
        <w:spacing w:val="30"/>
        <w:sz w:val="15"/>
        <w:szCs w:val="15"/>
      </w:rPr>
      <w:t xml:space="preserve">NORTHSTAR MANUFACTURING GROUP  ·  ENTERPRISE CLOUD STRATEGY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414"/>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Bdr>
        <w:bottom w:val="single" w:color="8A8A8A" w:sz="4" w:space="6"/>
      </w:pBdr>
      <w:spacing w:after="160" w:before="360"/>
      <w:outlineLvl w:val="0"/>
    </w:pPr>
    <w:rPr>
      <w:rFonts w:ascii="Garamond" w:cs="Garamond" w:eastAsia="Garamond" w:hAnsi="Garamond"/>
      <w:color w:val="141414"/>
      <w:sz w:val="40"/>
      <w:szCs w:val="40"/>
    </w:rPr>
  </w:style>
  <w:style w:type="paragraph" w:styleId="Heading2">
    <w:name w:val="Heading 2"/>
    <w:basedOn w:val="Normal"/>
    <w:next w:val="Normal"/>
    <w:qFormat/>
    <w:pPr>
      <w:keepNext/>
      <w:spacing w:after="100" w:before="240"/>
      <w:outlineLvl w:val="1"/>
    </w:pPr>
    <w:rPr>
      <w:rFonts w:ascii="Garamond" w:cs="Garamond" w:eastAsia="Garamond" w:hAnsi="Garamond"/>
      <w:color w:val="141414"/>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db639af9689f22e18728dca8ff4c7889729b815.png"/><Relationship Id="rId10" Type="http://schemas.openxmlformats.org/officeDocument/2006/relationships/image" Target="media/ef28b587da7d8c3f41f6a4374f6ab5cbcd21260d.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Cloud Strategy — Northstar Manufacturing Group</dc:title>
  <dc:creator>Cloud Is Not the Strategy toolkit</dc:creator>
  <cp:lastModifiedBy>Un-named</cp:lastModifiedBy>
  <cp:revision>1</cp:revision>
  <dcterms:created xsi:type="dcterms:W3CDTF">2026-10-19T03:57:08.356Z</dcterms:created>
  <dcterms:modified xsi:type="dcterms:W3CDTF">2026-10-19T03:57:08.356Z</dcterms:modified>
</cp:coreProperties>
</file>

<file path=docProps/custom.xml><?xml version="1.0" encoding="utf-8"?>
<Properties xmlns="http://schemas.openxmlformats.org/officeDocument/2006/custom-properties" xmlns:vt="http://schemas.openxmlformats.org/officeDocument/2006/docPropsVTypes"/>
</file>