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drawing>
          <wp:inline distT="0" distB="0" distL="0" distR="0">
            <wp:extent cx="1428750" cy="619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C5C5C"/>
          <w:spacing w:val="60"/>
          <w:sz w:val="22"/>
          <w:szCs w:val="22"/>
        </w:rPr>
        <w:t xml:space="preserve">CLOUD STRATEGY DOCUMENT</w:t>
      </w:r>
    </w:p>
    <w:p>
      <w:pPr>
        <w:spacing w:after="100"/>
      </w:pPr>
      <w:r>
        <w:rPr>
          <w:rFonts w:ascii="Garamond" w:cs="Garamond" w:eastAsia="Garamond" w:hAnsi="Garamond"/>
          <w:color w:val="141414"/>
          <w:sz w:val="80"/>
          <w:szCs w:val="80"/>
        </w:rPr>
        <w:t xml:space="preserve">Cloud Strategy Document</w:t>
      </w:r>
    </w:p>
    <w:p>
      <w:pPr>
        <w:spacing w:after="160"/>
      </w:pPr>
      <w:r>
        <w:rPr>
          <w:rFonts w:ascii="Garamond" w:cs="Garamond" w:eastAsia="Garamond" w:hAnsi="Garamond"/>
          <w:color w:val="5C5C5C"/>
          <w:sz w:val="36"/>
          <w:szCs w:val="36"/>
        </w:rPr>
        <w:t xml:space="preserve">[Organization name]</w:t>
      </w:r>
    </w:p>
    <w:p>
      <w:pPr>
        <w:pBdr>
          <w:bottom w:val="single" w:color="141414" w:sz="12" w:space="1"/>
        </w:pBdr>
        <w:spacing w:after="280"/>
        <w:ind w:right="7800"/>
      </w:pPr>
    </w:p>
    <w:p>
      <w:pPr>
        <w:spacing w:after="50"/>
      </w:pPr>
      <w:r>
        <w:rPr>
          <w:rFonts w:ascii="Calibri" w:cs="Calibri" w:eastAsia="Calibri" w:hAnsi="Calibri"/>
          <w:b/>
          <w:bCs/>
          <w:color w:val="141414"/>
          <w:sz w:val="21"/>
          <w:szCs w:val="21"/>
        </w:rPr>
        <w:t xml:space="preserve">Version: </w:t>
      </w:r>
      <w:r>
        <w:rPr>
          <w:rFonts w:ascii="Calibri" w:cs="Calibri" w:eastAsia="Calibri" w:hAnsi="Calibri"/>
          <w:color w:val="5C5C5C"/>
          <w:sz w:val="21"/>
          <w:szCs w:val="21"/>
        </w:rPr>
        <w:t xml:space="preserve">[0.1]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41414"/>
          <w:sz w:val="21"/>
          <w:szCs w:val="21"/>
        </w:rPr>
        <w:t xml:space="preserve">Document Owner: </w:t>
      </w:r>
      <w:r>
        <w:rPr>
          <w:rFonts w:ascii="Calibri" w:cs="Calibri" w:eastAsia="Calibri" w:hAnsi="Calibri"/>
          <w:color w:val="5C5C5C"/>
          <w:sz w:val="21"/>
          <w:szCs w:val="21"/>
        </w:rPr>
        <w:t xml:space="preserve">[Cloud Program Administrator]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41414"/>
          <w:sz w:val="21"/>
          <w:szCs w:val="21"/>
        </w:rPr>
        <w:t xml:space="preserve">Program Owner: </w:t>
      </w:r>
      <w:r>
        <w:rPr>
          <w:rFonts w:ascii="Calibri" w:cs="Calibri" w:eastAsia="Calibri" w:hAnsi="Calibri"/>
          <w:color w:val="5C5C5C"/>
          <w:sz w:val="21"/>
          <w:szCs w:val="21"/>
        </w:rPr>
        <w:t xml:space="preserve">[Name, title]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141414"/>
          <w:sz w:val="21"/>
          <w:szCs w:val="21"/>
        </w:rPr>
        <w:t xml:space="preserve">Business Sponsor: </w:t>
      </w:r>
      <w:r>
        <w:rPr>
          <w:rFonts w:ascii="Calibri" w:cs="Calibri" w:eastAsia="Calibri" w:hAnsi="Calibri"/>
          <w:color w:val="5C5C5C"/>
          <w:sz w:val="21"/>
          <w:szCs w:val="21"/>
        </w:rPr>
        <w:t xml:space="preserve">[Name, title]</w:t>
      </w:r>
    </w:p>
    <w:p>
      <w:pPr>
        <w:spacing w:after="520"/>
      </w:pPr>
      <w:r>
        <w:rPr>
          <w:rFonts w:ascii="Calibri" w:cs="Calibri" w:eastAsia="Calibri" w:hAnsi="Calibri"/>
          <w:b/>
          <w:bCs/>
          <w:color w:val="141414"/>
          <w:sz w:val="21"/>
          <w:szCs w:val="21"/>
        </w:rPr>
        <w:t xml:space="preserve">Status: </w:t>
      </w:r>
      <w:r>
        <w:rPr>
          <w:rFonts w:ascii="Calibri" w:cs="Calibri" w:eastAsia="Calibri" w:hAnsi="Calibri"/>
          <w:color w:val="5C5C5C"/>
          <w:sz w:val="21"/>
          <w:szCs w:val="21"/>
        </w:rPr>
        <w:t xml:space="preserve">[Draft / In review / Approved]</w:t>
      </w:r>
    </w:p>
    <w:p>
      <w:r>
        <w:drawing>
          <wp:inline distT="0" distB="0" distL="0" distR="0">
            <wp:extent cx="5943600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200"/>
      </w:pPr>
      <w:r>
        <w:rPr>
          <w:rFonts w:ascii="Garamond" w:cs="Garamond" w:eastAsia="Garamond" w:hAnsi="Garamond"/>
          <w:color w:val="141414"/>
          <w:sz w:val="40"/>
          <w:szCs w:val="40"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Executive Summary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What are we trying to accomplish and why?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State three things, in this order: the business problem or opportunity, the desired outcome in measurable terms, and the strategic direction.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Lead with the business. Test it: remove the word “cloud” from the first paragraph. If it still makes sense, you started with the business.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Write it last, after the other sections are agreed. Keep it to about a page. (Chapter 2)</w:t>
            </w:r>
          </w:p>
        </w:tc>
      </w:tr>
    </w:tbl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[The business problem or opportunity]</w:t>
      </w:r>
    </w:p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[The desired outcome, stated in measurable terms]</w:t>
      </w:r>
    </w:p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[The strategic direction, and where cloud fits]</w:t>
      </w:r>
    </w:p>
    <w:p>
      <w:pPr>
        <w:pStyle w:val="Heading1"/>
      </w:pPr>
      <w:r>
        <w:t xml:space="preserve">2. Business Drivers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Why must the organization act?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For each candidate driver, ask: Who is the business sponsor? What business problem or opportunity does it represent? Why does it matter now? Does cloud materially contribute to achieving it?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Prioritize. An organization can have twenty important initiatives without its CSD having twenty drivers. Keep the drivers that are strategically important, have meaningful executive sponsorship, and require capabilities cloud can materially enable.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Be specific. A driver that could appear in any company’s strategy is not yet a driver. (Chapter 3; use the Driver Inventory tab in the Strategy Workbook)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41414"/>
          <w:sz w:val="22"/>
          <w:szCs w:val="22"/>
        </w:rPr>
        <w:t xml:space="preserve">[Driver name]. </w:t>
      </w: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[Why it matters to the business, and why now]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  <w:color w:val="141414"/>
          <w:sz w:val="22"/>
          <w:szCs w:val="22"/>
        </w:rPr>
        <w:t xml:space="preserve">[Driver name]. </w:t>
      </w: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[Why it matters to the business, and why now]</w:t>
      </w:r>
    </w:p>
    <w:p>
      <w:pPr>
        <w:pStyle w:val="Heading1"/>
      </w:pPr>
      <w:r>
        <w:t xml:space="preserve">3. Business Outcomes &amp; KPIs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What results do we expect? And how do we measure them?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Connect every driver to a measurable business outcome, owned by a business sponsor, with a KPI and the requirements it places on technology.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Measure the outcome, not the technology. The number of applications migrated is activity; reducing concept-to-production time from 120 to 60 days is an outcome.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Requirements are the handoff to the Cloud Adoption Framework: state them at the capability level, not as products. (Chapter 4; Table 4.1)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1 — Business Outcome Mapping Matrix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50"/>
        <w:gridCol w:w="1750"/>
        <w:gridCol w:w="1800"/>
        <w:gridCol w:w="1700"/>
        <w:gridCol w:w="1860"/>
      </w:tblGrid>
      <w:tr>
        <w:trPr>
          <w:cantSplit/>
          <w:tblHeader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Sponsor</w:t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Business Driver</w:t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Business Outcome</w:t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KPI</w:t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Requirements</w:t>
            </w:r>
          </w:p>
        </w:tc>
      </w:tr>
      <w:tr>
        <w:trPr>
          <w:cantSplit/>
          <w:trHeight w:val="520" w:hRule="atLeast"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4. SWOT / Readiness Assessment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What helps or hinders our ability to execute?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Assess the organization, not the cloud provider: what helps or hinders your ability to execute this strategy?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Every important finding needs a strategic implication, a required response, and a place where it lands: principles, CAF work, exit strategy, or a risk accepted. (Chapter 5; Table 5.3)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Don’t hide bad news. A SWOT that flatters the organization protects nobody.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2 — Strengths and Weaknesses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Strengths</w:t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Weaknesses</w:t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3 — Opportunities and Threats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Opportunities</w:t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Threats</w:t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4 — Findings and Required Responses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2500"/>
        <w:gridCol w:w="2160"/>
      </w:tblGrid>
      <w:tr>
        <w:trPr>
          <w:cantSplit/>
          <w:tblHeader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SWOT Finding</w:t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Strategic Implication</w:t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Required Response</w:t>
            </w:r>
          </w:p>
        </w:tc>
        <w:tc>
          <w:tcPr>
            <w:tcW w:type="dxa" w:w="21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Where It Lands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5. Cloud Position &amp; Principles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What strategic positions will guide our decisions?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State the organization’s default posture in a sentence or two. Most good positions sit in the useful space between “cloud for everything” and “cloud for nothing”.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Write principles that change decisions. A slogan (“We will leverage cloud to drive innovation”) changes nothing; a principle (“Commodity capabilities are evaluated as SaaS before custom development”) does.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Give each principle its implication, and define how exceptions are approved. (Chapter 6; Table 6.1)</w:t>
            </w:r>
          </w:p>
        </w:tc>
      </w:tr>
    </w:tbl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[Cloud position statement]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5 — Strategic Principles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80"/>
        <w:gridCol w:w="3580"/>
      </w:tblGrid>
      <w:tr>
        <w:trPr>
          <w:cantSplit/>
          <w:tblHeader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Principle</w:t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Strategic Position</w:t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Implication</w:t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6. Exit Strategy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What dependencies will we accept and how will we manage them?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Decide exit before adoption. Exit readiness should be proportional to business impact: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b/>
                <w:bCs/>
                <w:color w:val="141414"/>
                <w:sz w:val="20"/>
                <w:szCs w:val="20"/>
              </w:rPr>
              <w:t xml:space="preserve">Documented dependency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for every significant service: what you rely on, why, and the realistic alternatives.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b/>
                <w:bCs/>
                <w:color w:val="141414"/>
                <w:sz w:val="20"/>
                <w:szCs w:val="20"/>
              </w:rPr>
              <w:t xml:space="preserve">Exit-ready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for important services: data retrievable in usable form, destinations known, effort estimated.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b/>
                <w:bCs/>
                <w:color w:val="141414"/>
                <w:sz w:val="20"/>
                <w:szCs w:val="20"/>
              </w:rPr>
              <w:t xml:space="preserve">Exit-proven </w:t>
            </w: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for critical services: evidence, from an actual exercise, that you can move within the time the business requires.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Before entering any critical dependency, answer the six questions below. (Chapter 7; Table 7.1)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6 — Before-You-Enter Exit Questions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700"/>
        <w:gridCol w:w="3060"/>
      </w:tblGrid>
      <w:tr>
        <w:trPr>
          <w:cantSplit/>
          <w:tblHeader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What a weak answer tells you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Our answer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Is there a credible alternative?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The organization may have no practical way out. The dependency must be accepted knowingly or avoided.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Could the alternative receive our data and put it to work?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Leaving would mean rebuilding history, configuration, and process, not just moving files.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How durable is the provider?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The risk may come from the provider’s own future rather than from its service.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What does its track record say?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Outages may be frequent, slow to resolve, or symptomatic of deeper problems.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How long can the business operate without it?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The service is more critical than its purchase suggested, and needs more protection.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Who accepts the dependency?</w:t>
            </w:r>
          </w:p>
        </w:tc>
        <w:tc>
          <w:tcPr>
            <w:tcW w:type="dxa" w:w="3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>If no business owner signs, the dependency is being accepted by accident.</w:t>
            </w:r>
          </w:p>
        </w:tc>
        <w:tc>
          <w:tcPr>
            <w:tcW w:type="dxa" w:w="30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[Exit signals that will prompt a review of a dependency]</w:t>
      </w:r>
    </w:p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[How exit decisions will be made, and by whom]</w:t>
      </w:r>
    </w:p>
    <w:p>
      <w:pPr>
        <w:pStyle w:val="Heading1"/>
      </w:pPr>
      <w:r>
        <w:t xml:space="preserve">7. Success Metrics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How will we know whether the strategy is working?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Measure business value first, then transformation and adoption, operations, and financial and risk indicators. Activity alone is not success.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Every strategic metric needs a baseline, a target, an owner, and a target date. Where a baseline is unknown, say when it will be established.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Beware vanity metrics and metrics that reward the wrong behavior. (Chapter 8; Table 8.2)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7 — Success Scorecard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700"/>
        <w:gridCol w:w="1000"/>
        <w:gridCol w:w="1000"/>
        <w:gridCol w:w="1000"/>
        <w:gridCol w:w="1500"/>
        <w:gridCol w:w="1460"/>
      </w:tblGrid>
      <w:tr>
        <w:trPr>
          <w:cantSplit/>
          <w:tblHeader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Business Outcome</w:t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Baseline</w:t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Current</w:t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Date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  <w:tc>
          <w:tcPr>
            <w:tcW w:type="dxa" w:w="14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8"/>
                <w:szCs w:val="18"/>
              </w:rPr>
              <w:t xml:space="preserve"/>
            </w:r>
          </w:p>
        </w:tc>
      </w:tr>
    </w:tbl>
    <w:p>
      <w:pPr>
        <w:spacing w:after="140" w:line="288"/>
      </w:pPr>
      <w:r>
        <w:rPr>
          <w:rFonts w:ascii="Calibri" w:cs="Calibri" w:eastAsia="Calibri" w:hAnsi="Calibri"/>
          <w:i/>
          <w:iCs/>
          <w:color w:val="5C5C5C"/>
          <w:sz w:val="20"/>
          <w:szCs w:val="20"/>
        </w:rPr>
        <w:t xml:space="preserve">Target dates are measured from approval of this strategy.</w:t>
      </w:r>
    </w:p>
    <w:p>
      <w:pPr>
        <w:pStyle w:val="Heading1"/>
      </w:pPr>
      <w:r>
        <w:t xml:space="preserve">8. Governance &amp; Review</w:t>
      </w:r>
    </w:p>
    <w:p>
      <w:pPr>
        <w:spacing w:after="140" w:line="288"/>
      </w:pPr>
      <w:r>
        <w:rPr>
          <w:rFonts w:ascii="Calibri" w:cs="Calibri" w:eastAsia="Calibri" w:hAnsi="Calibri"/>
          <w:b/>
          <w:bCs/>
          <w:color w:val="5C5C5C"/>
          <w:sz w:val="22"/>
          <w:szCs w:val="22"/>
        </w:rPr>
        <w:t xml:space="preserve">Question this section answers: </w:t>
      </w:r>
      <w:r>
        <w:rPr>
          <w:rFonts w:ascii="Calibri" w:cs="Calibri" w:eastAsia="Calibri" w:hAnsi="Calibri"/>
          <w:i/>
          <w:iCs/>
          <w:color w:val="5C5C5C"/>
          <w:sz w:val="22"/>
          <w:szCs w:val="22"/>
        </w:rPr>
        <w:t xml:space="preserve">Who owns the strategy and how will it remain current?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SECTION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Name the Program Owner, the Business Sponsor, and the Program Administrator who maintains the document.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Set a scheduled review (every 6 or 12 months) and the events that trigger an earlier one: acquisitions, regulatory change, security events, provider changes, economics, or a change in AI strategy.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Version the strategy and record why it changed. Approval by the Program Owner and Business Sponsor gives the strategy its authority. (Chapter 10; Tables 10.1 and 10.2)</w:t>
            </w:r>
          </w:p>
        </w:tc>
      </w:tr>
    </w:tbl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[Ownership and review cadence]</w:t>
      </w:r>
    </w:p>
    <w:p>
      <w:pPr>
        <w:spacing w:after="140" w:line="288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</w:rPr>
        <w:t xml:space="preserve">[Review triggers]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8 — Change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400"/>
        <w:gridCol w:w="3760"/>
      </w:tblGrid>
      <w:tr>
        <w:trPr>
          <w:cantSplit/>
          <w:tblHeader/>
        </w:trPr>
        <w:tc>
          <w:tcPr>
            <w:tcW w:type="dxa" w:w="1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Version</w:t>
            </w:r>
          </w:p>
        </w:tc>
        <w:tc>
          <w:tcPr>
            <w:tcW w:type="dxa" w:w="4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Change</w:t>
            </w:r>
          </w:p>
        </w:tc>
        <w:tc>
          <w:tcPr>
            <w:tcW w:type="dxa" w:w="37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Reason</w:t>
            </w: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7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7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7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9 — Approval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700"/>
        <w:gridCol w:w="2600"/>
        <w:gridCol w:w="1660"/>
      </w:tblGrid>
      <w:tr>
        <w:trPr>
          <w:cantSplit/>
          <w:tblHeader/>
        </w:trPr>
        <w:tc>
          <w:tcPr>
            <w:tcW w:type="dxa" w:w="2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6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Program Owner</w:t>
            </w:r>
          </w:p>
        </w:tc>
        <w:tc>
          <w:tcPr>
            <w:tcW w:type="dxa" w:w="2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6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41414"/>
                <w:sz w:val="19"/>
                <w:szCs w:val="19"/>
              </w:rPr>
              <w:t xml:space="preserve">Business Sponsor</w:t>
            </w:r>
          </w:p>
        </w:tc>
        <w:tc>
          <w:tcPr>
            <w:tcW w:type="dxa" w:w="27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16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Appendix: Organizational Cloud Glossary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auto" w:sz="0"/>
              <w:left w:val="single" w:color="8A8A8A" w:sz="18"/>
              <w:bottom w:val="none" w:color="auto" w:sz="0"/>
              <w:right w:val="none" w:color="auto" w:sz="0"/>
            </w:tcBorders>
            <w:shd w:fill="F2F2F2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C5C5C"/>
                <w:spacing w:val="30"/>
                <w:sz w:val="16"/>
                <w:szCs w:val="16"/>
              </w:rPr>
              <w:t xml:space="preserve">HOW TO COMPLETE THIS APPENDIX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262626"/>
                <w:sz w:val="20"/>
                <w:szCs w:val="20"/>
              </w:rPr>
              <w:t xml:space="preserve">Define only the terms whose interpretation would change a decision, and keep definitions separate from positions: a definition says what a word means; a position says what the organization will do about it. (Chapter 9; Table 9.1)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Table 10 — Glossary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100"/>
        <w:gridCol w:w="3260"/>
      </w:tblGrid>
      <w:tr>
        <w:trPr>
          <w:cantSplit/>
          <w:tblHeader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Term</w:t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Organizational Definition</w:t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3A3A3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Why It Matters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410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  <w:tc>
          <w:tcPr>
            <w:tcW w:type="dxa" w:w="3260"/>
            <w:tcBorders>
              <w:top w:val="single" w:color="E6E6E6" w:sz="4"/>
              <w:left w:val="single" w:color="E6E6E6" w:sz="4"/>
              <w:bottom w:val="single" w:color="E6E6E6" w:sz="4"/>
              <w:right w:val="single" w:color="E6E6E6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41414"/>
                <w:sz w:val="19"/>
                <w:szCs w:val="19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Calibri" w:cs="Calibri" w:eastAsia="Calibri" w:hAnsi="Calibri"/>
          <w:b/>
          <w:bCs/>
          <w:color w:val="5C5C5C"/>
          <w:sz w:val="18"/>
          <w:szCs w:val="18"/>
        </w:rPr>
        <w:t xml:space="preserve">Source: </w:t>
      </w:r>
      <w:r>
        <w:rPr>
          <w:rFonts w:ascii="Calibri" w:cs="Calibri" w:eastAsia="Calibri" w:hAnsi="Calibri"/>
          <w:i/>
          <w:iCs/>
          <w:color w:val="5C5C5C"/>
          <w:sz w:val="18"/>
          <w:szCs w:val="18"/>
        </w:rPr>
        <w:t xml:space="preserve">Cloud Is Not the Strategy, Chapters 2–12. A completed example accompanies this template: Northstar_CSD_Example.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Calibri" w:cs="Calibri" w:eastAsia="Calibri" w:hAnsi="Calibri"/>
        <w:color w:val="8A8A8A"/>
        <w:sz w:val="16"/>
        <w:szCs w:val="16"/>
      </w:rPr>
      <w:t xml:space="preserve">[Organization name]</w:t>
    </w:r>
    <w:r>
      <w:rPr>
        <w:rFonts w:ascii="Calibri" w:cs="Calibri" w:eastAsia="Calibri" w:hAnsi="Calibri"/>
        <w:color w:val="141414"/>
        <w:sz w:val="16"/>
        <w:szCs w:val="16"/>
      </w:rPr>
      <w:t xml:space="preserve">	</w:t>
    </w:r>
    <w:r>
      <w:rPr>
        <w:rFonts w:ascii="Calibri" w:cs="Calibri" w:eastAsia="Calibri" w:hAnsi="Calibri"/>
        <w:color w:val="8A8A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6" w:sz="4" w:space="6"/>
      </w:pBdr>
    </w:pPr>
    <w:r>
      <w:rPr>
        <w:rFonts w:ascii="Calibri" w:cs="Calibri" w:eastAsia="Calibri" w:hAnsi="Calibri"/>
        <w:b/>
        <w:bCs/>
        <w:color w:val="5C5C5C"/>
        <w:spacing w:val="30"/>
        <w:sz w:val="15"/>
        <w:szCs w:val="15"/>
      </w:rPr>
      <w:t xml:space="preserve">CLOUD STRATEGY DOCUMENT  · 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1414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A8A8A" w:sz="4" w:space="6"/>
      </w:pBdr>
      <w:spacing w:after="160" w:before="360"/>
      <w:outlineLvl w:val="0"/>
    </w:pPr>
    <w:rPr>
      <w:rFonts w:ascii="Garamond" w:cs="Garamond" w:eastAsia="Garamond" w:hAnsi="Garamond"/>
      <w:color w:val="141414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aramond" w:cs="Garamond" w:eastAsia="Garamond" w:hAnsi="Garamond"/>
      <w:color w:val="14141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db639af9689f22e18728dca8ff4c7889729b815.png"/><Relationship Id="rId10" Type="http://schemas.openxmlformats.org/officeDocument/2006/relationships/image" Target="media/ef28b587da7d8c3f41f6a4374f6ab5cbcd21260d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Strategy Document — [Organization name]</dc:title>
  <dc:creator>Cloud Is Not the Strategy toolkit</dc:creator>
  <cp:lastModifiedBy>Un-named</cp:lastModifiedBy>
  <cp:revision>1</cp:revision>
  <dcterms:created xsi:type="dcterms:W3CDTF">2026-10-19T03:57:07.989Z</dcterms:created>
  <dcterms:modified xsi:type="dcterms:W3CDTF">2026-10-19T03:57:07.989Z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